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42/2024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PDT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3.3.50.41.00.00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R$ 15.466,00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bookmarkStart w:id="0" w:name="_GoBack"/>
            <w:r>
              <w:rPr>
                <w:b/>
                <w:bCs/>
                <w:color w:val="auto"/>
              </w:rPr>
              <w:t xml:space="preserve">1.500.0000.0000 </w:t>
            </w:r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R$ 15.466,00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 -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 ATLEC tem, dentre seus objetivos, conforme Estatuto, promover, divulgar, propagar, ministrar, praticar e incentivar a prática de todas as modalidades de esportes.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Assim, vem mantendo uma escolinha de futebol para mais de setenta crianças carentes, nas categorias sub 7, sub 9, sub 11, sub 13 e sub 15.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>Esta emenda à despesa visa a realocar recursos para o auxílio no transporte por quilômetro rodado, para fins de deslocamento em integrações não competitivas dos alunos da escolinha de futebol; na alimentação/lanches dos alunos; na aquisição de material de treino (material esportivo, fardamento e agasalho) para uso nas aulas e mochilas para guardar e transportar o fardamento e agasalho.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/>
      </w:pPr>
      <w:r>
        <w:rPr/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87"/>
        <w:gridCol w:w="3677"/>
        <w:gridCol w:w="2330"/>
      </w:tblGrid>
      <w:tr>
        <w:trPr/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Paulo Gilceu Sattler</w:t>
            </w: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0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Application>LibreOffice/7.4.2.3$Windows_X86_64 LibreOffice_project/382eef1f22670f7f4118c8c2dd222ec7ad009daf</Application>
  <AppVersion>15.0000</AppVersion>
  <Pages>2</Pages>
  <Words>324</Words>
  <Characters>1895</Characters>
  <CharactersWithSpaces>2171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2024-11-22T09:46:14Z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